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5FD825F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0BC2E30A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451893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451893">
        <w:rPr>
          <w:rFonts w:ascii="Arial" w:hAnsi="Arial" w:cs="Arial"/>
          <w:b/>
          <w:sz w:val="40"/>
          <w:szCs w:val="40"/>
        </w:rPr>
        <w:t xml:space="preserve"> </w:t>
      </w:r>
      <w:r w:rsidR="00360F7C" w:rsidRPr="00451893">
        <w:rPr>
          <w:rFonts w:ascii="Arial" w:hAnsi="Arial" w:cs="Arial"/>
          <w:b/>
          <w:sz w:val="40"/>
          <w:szCs w:val="40"/>
        </w:rPr>
        <w:t>Research Fellow on ‘Ethics of Doubt’ project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1E147757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360F7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Prof. Genia Schönbaumsfeld</w:t>
      </w:r>
    </w:p>
    <w:p w14:paraId="65B8E6EF" w14:textId="4495F8B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C46DFE" w:rsidRPr="00C46DFE">
        <w:rPr>
          <w:rFonts w:ascii="Arial" w:eastAsiaTheme="majorEastAsia" w:hAnsi="Arial" w:cs="Arial"/>
          <w:bCs/>
          <w:sz w:val="22"/>
        </w:rPr>
        <w:t>2119</w:t>
      </w:r>
    </w:p>
    <w:p w14:paraId="0C125905" w14:textId="4BEFE06D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60F7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Humanities/Philosophy</w:t>
      </w:r>
    </w:p>
    <w:p w14:paraId="0F7483D1" w14:textId="4D144A7B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60F7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Arts and Humanities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50A6FDE0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360F7C">
            <w:rPr>
              <w:rFonts w:ascii="Arial" w:hAnsi="Arial" w:cs="Arial"/>
              <w:sz w:val="22"/>
            </w:rPr>
            <w:t>Research</w:t>
          </w:r>
        </w:sdtContent>
      </w:sdt>
    </w:p>
    <w:p w14:paraId="5FF72A48" w14:textId="281DE3AD" w:rsidR="00360F7C" w:rsidRPr="00360F7C" w:rsidRDefault="00886EF0" w:rsidP="002B5854">
      <w:pPr>
        <w:rPr>
          <w:rFonts w:ascii="Arial" w:eastAsiaTheme="majorEastAsia" w:hAnsi="Arial" w:cs="Arial"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60F7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Prof. Genia Schönbaumsfeld</w:t>
      </w:r>
    </w:p>
    <w:p w14:paraId="1DD585A1" w14:textId="63B23BFF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60F7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None</w:t>
      </w:r>
    </w:p>
    <w:p w14:paraId="79E9B958" w14:textId="0CAB4CC5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EE0825">
            <w:rPr>
              <w:rFonts w:ascii="Roboto" w:hAnsi="Roboto"/>
              <w:sz w:val="22"/>
            </w:rPr>
            <w:t>Campus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5" style="width:0;height:1.5pt" o:hralign="center" o:hrstd="t" o:hr="t" fillcolor="#a0a0a0" stroked="f"/>
        </w:pict>
      </w:r>
    </w:p>
    <w:p w14:paraId="7B3CEA09" w14:textId="3783B32B" w:rsidR="00D56E08" w:rsidRPr="00D56E08" w:rsidRDefault="00A2516E" w:rsidP="00360F7C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60101A80" w14:textId="77777777" w:rsidR="00D56E08" w:rsidRPr="00D56E08" w:rsidRDefault="00D56E08" w:rsidP="00D56E08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Knowledge Exchange and Enterprise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specialist knowledge and experience, with appropriate guidance, support and supervision. Work is typically focused on contributing to the design, development and delivery of knowledge exchange and/or enterprise activities and outputs.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000000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6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19157883" w:rsidR="00886EF0" w:rsidRPr="00722340" w:rsidRDefault="00360F7C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75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477D7F8" w14:textId="0319ADFE" w:rsidR="00D56E08" w:rsidRDefault="00D56E08" w:rsidP="00D56E08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2F54AF47" w14:textId="29047C62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 xml:space="preserve">Develop and progress a personal programme of research </w:t>
      </w:r>
      <w:r w:rsidR="003A5210">
        <w:rPr>
          <w:rFonts w:ascii="Arial" w:hAnsi="Arial" w:cs="Arial"/>
          <w:sz w:val="22"/>
        </w:rPr>
        <w:t>that makes a major contribution to Components 2 or 3 of the ‘Ethics of Doubt’ project</w:t>
      </w:r>
      <w:r w:rsidRPr="00D56E08">
        <w:rPr>
          <w:rFonts w:ascii="Arial" w:hAnsi="Arial" w:cs="Arial"/>
          <w:sz w:val="22"/>
        </w:rPr>
        <w:t>.</w:t>
      </w:r>
    </w:p>
    <w:p w14:paraId="2EC6A136" w14:textId="0549526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</w:t>
      </w:r>
      <w:r w:rsidR="00EE0825">
        <w:rPr>
          <w:rFonts w:ascii="Arial" w:hAnsi="Arial" w:cs="Arial"/>
          <w:sz w:val="22"/>
        </w:rPr>
        <w:t xml:space="preserve"> within the remit of project themes.</w:t>
      </w:r>
    </w:p>
    <w:p w14:paraId="066C0891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EA3301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25BBD59B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Develop knowledge and understanding of research methodologies (e.g., testing, analysis, interpretation, critical evaluation); select and apply these effectively.</w:t>
      </w:r>
    </w:p>
    <w:p w14:paraId="09B5E66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4084824D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60CB249" w14:textId="3D0B61AD" w:rsidR="00886EF0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="00DA0322" w:rsidRPr="006D162A">
        <w:rPr>
          <w:rFonts w:ascii="Arial" w:hAnsi="Arial" w:cs="Arial"/>
          <w:sz w:val="22"/>
        </w:rPr>
        <w:t>.</w:t>
      </w:r>
    </w:p>
    <w:p w14:paraId="10ABA501" w14:textId="234684D1" w:rsidR="00451893" w:rsidRPr="006D162A" w:rsidRDefault="00451893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Participate in and contribute to project reading group.</w:t>
      </w:r>
    </w:p>
    <w:p w14:paraId="151FC345" w14:textId="69E52356" w:rsidR="008B0F71" w:rsidRPr="008B0F71" w:rsidRDefault="008B0F71" w:rsidP="00D56E08">
      <w:pPr>
        <w:pStyle w:val="ListParagraph"/>
        <w:ind w:left="567" w:right="907"/>
        <w:contextualSpacing w:val="0"/>
        <w:rPr>
          <w:rFonts w:ascii="Roboto" w:hAnsi="Roboto"/>
          <w:color w:val="E73238" w:themeColor="accent2"/>
          <w:sz w:val="22"/>
        </w:rPr>
      </w:pPr>
    </w:p>
    <w:p w14:paraId="2A09BA2F" w14:textId="5D9A02A1" w:rsidR="00886EF0" w:rsidRPr="00722340" w:rsidRDefault="00360F7C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02D9480" w14:textId="4D75C671" w:rsidR="00D56E08" w:rsidRDefault="00D56E08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1DE31B21" w14:textId="77777777" w:rsid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Apply a well-developed understanding of a specialist field and/or University knowledge and know-how to contribute to the design, development and delivery of knowledge exchange and/or enterprise activities and outputs, individually or as part of a wider project, team or unit.</w:t>
      </w:r>
    </w:p>
    <w:p w14:paraId="460920C8" w14:textId="30B4A9CE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Work effectively with internal and external stakeholders to establish and evaluate requirements, provide insight and propose products or solutions to meet identified needs.</w:t>
      </w:r>
    </w:p>
    <w:p w14:paraId="6D6AF1E7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Select and apply appropriate specialist skills, methods and techniques to achieve defined outcomes (e.g., product development, testing and delivery).</w:t>
      </w:r>
    </w:p>
    <w:p w14:paraId="36F889FB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Participate in public engagement, outreach and/or other impact-generating activities.</w:t>
      </w:r>
    </w:p>
    <w:p w14:paraId="4AFC0213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Take opportunities to ensure knowledge exchange and/or enterprise activities and outputs benefit educational and research practice.</w:t>
      </w:r>
    </w:p>
    <w:p w14:paraId="328BE512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Collaborate and network productively with colleagues and relevant stakeholders in own and other departments, specialisms and/or organisations, within and beyond academia.</w:t>
      </w:r>
    </w:p>
    <w:p w14:paraId="11C74009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delivery of Knowledge Transfer Partnerships.</w:t>
      </w:r>
    </w:p>
    <w:p w14:paraId="53641C94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Continually update specialist knowledge to ensure knowledge exchange and/or enterprise activities and outputs are informed by advances in knowledge, insight and understanding deriving from research, industrial and professional practice.</w:t>
      </w:r>
    </w:p>
    <w:p w14:paraId="28D381B5" w14:textId="6F7B5AFF" w:rsidR="00886EF0" w:rsidRPr="006D162A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Regularly produce and/or contribute to high-quality knowledge exchange and/or enterprise outputs, establishing visibility and credibility among relevant communities, within and beyond the University</w:t>
      </w:r>
      <w:r w:rsidR="00DA0322" w:rsidRPr="006D162A">
        <w:rPr>
          <w:rFonts w:ascii="Arial" w:hAnsi="Arial" w:cs="Arial"/>
          <w:sz w:val="22"/>
        </w:rPr>
        <w:t>.</w:t>
      </w:r>
    </w:p>
    <w:p w14:paraId="6F47850B" w14:textId="039C6BF3" w:rsidR="008B0F71" w:rsidRPr="00BA0543" w:rsidRDefault="008B0F71" w:rsidP="00CB1D5C">
      <w:pPr>
        <w:pStyle w:val="ListParagraph"/>
        <w:ind w:left="567" w:right="907"/>
        <w:contextualSpacing w:val="0"/>
        <w:rPr>
          <w:rFonts w:ascii="Roboto" w:hAnsi="Roboto"/>
          <w:color w:val="E73238" w:themeColor="accent2"/>
          <w:sz w:val="22"/>
        </w:rPr>
      </w:pPr>
    </w:p>
    <w:p w14:paraId="72ECD5FC" w14:textId="07A30B10" w:rsidR="00886EF0" w:rsidRPr="00722340" w:rsidRDefault="002453C8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</w:t>
      </w:r>
      <w:r w:rsidR="00C46DFE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F15B4D3" w14:textId="2AD721D1" w:rsid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2DD3DDE7" w14:textId="77777777" w:rsidR="00CB1D5C" w:rsidRP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4B15D7E1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2007AAEE" w14:textId="658C5033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 xml:space="preserve">Undertake defined tasks </w:t>
      </w:r>
      <w:r w:rsidR="002453C8">
        <w:rPr>
          <w:rFonts w:ascii="Arial" w:hAnsi="Arial" w:cs="Arial"/>
          <w:sz w:val="22"/>
        </w:rPr>
        <w:t>(such as, for example, co-organizing project workshops and conferences)</w:t>
      </w:r>
      <w:r w:rsidR="002453C8" w:rsidRPr="00CB1D5C">
        <w:rPr>
          <w:rFonts w:ascii="Arial" w:hAnsi="Arial" w:cs="Arial"/>
          <w:sz w:val="22"/>
        </w:rPr>
        <w:t xml:space="preserve"> </w:t>
      </w:r>
      <w:r w:rsidRPr="00CB1D5C">
        <w:rPr>
          <w:rFonts w:ascii="Arial" w:hAnsi="Arial" w:cs="Arial"/>
          <w:sz w:val="22"/>
        </w:rPr>
        <w:t>and contribute effectively to team management, engagement, administration or project work.</w:t>
      </w:r>
    </w:p>
    <w:p w14:paraId="52A3377B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07B53D69" w14:textId="553FF2B8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 xml:space="preserve">Develop an understanding of </w:t>
      </w:r>
      <w:r w:rsidR="00EE0825">
        <w:rPr>
          <w:rFonts w:ascii="Arial" w:hAnsi="Arial" w:cs="Arial"/>
          <w:sz w:val="22"/>
        </w:rPr>
        <w:t>project</w:t>
      </w:r>
      <w:r w:rsidRPr="00CB1D5C">
        <w:rPr>
          <w:rFonts w:ascii="Arial" w:hAnsi="Arial" w:cs="Arial"/>
          <w:sz w:val="22"/>
        </w:rPr>
        <w:t xml:space="preserve"> strategies and objectives.</w:t>
      </w:r>
    </w:p>
    <w:p w14:paraId="5FF36DF3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6DB9E21F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58F26DA7" w14:textId="0B60E3F4" w:rsidR="00886EF0" w:rsidRPr="006D162A" w:rsidRDefault="00A574E8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lastRenderedPageBreak/>
        <w:t>Use discretion and judgement to select from or adapt existing processes and procedures to achieve outcomes</w:t>
      </w:r>
      <w:r w:rsidR="00DA0322" w:rsidRPr="006D162A">
        <w:rPr>
          <w:rFonts w:ascii="Arial" w:hAnsi="Arial" w:cs="Arial"/>
          <w:sz w:val="22"/>
        </w:rPr>
        <w:t>.</w:t>
      </w:r>
    </w:p>
    <w:p w14:paraId="1493C4FB" w14:textId="784B0182" w:rsidR="008B0F71" w:rsidRPr="008B0F71" w:rsidRDefault="008B0F71" w:rsidP="00CB1D5C">
      <w:pPr>
        <w:pStyle w:val="ListParagraph"/>
        <w:ind w:left="567" w:right="907"/>
        <w:contextualSpacing w:val="0"/>
        <w:rPr>
          <w:rFonts w:ascii="Roboto" w:hAnsi="Roboto"/>
          <w:color w:val="E73238" w:themeColor="accent2"/>
          <w:sz w:val="22"/>
        </w:rPr>
      </w:pP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4341D7DC" w:rsidR="002B5854" w:rsidRPr="002B5854" w:rsidRDefault="002B5854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7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67389175" w14:textId="39971252" w:rsidR="00C46DFE" w:rsidRPr="00C46DFE" w:rsidRDefault="002453C8" w:rsidP="00C46DFE">
      <w:pPr>
        <w:numPr>
          <w:ilvl w:val="0"/>
          <w:numId w:val="16"/>
        </w:numPr>
        <w:rPr>
          <w:rFonts w:ascii="Arial" w:hAnsi="Arial" w:cs="Arial"/>
          <w:sz w:val="22"/>
        </w:rPr>
      </w:pPr>
      <w:r w:rsidRPr="003A5210">
        <w:rPr>
          <w:rFonts w:ascii="Arial" w:hAnsi="Arial" w:cs="Arial"/>
          <w:sz w:val="22"/>
        </w:rPr>
        <w:t>Line Manager</w:t>
      </w:r>
      <w:r w:rsidR="00C46DFE">
        <w:rPr>
          <w:rFonts w:ascii="Arial" w:hAnsi="Arial" w:cs="Arial"/>
          <w:sz w:val="22"/>
        </w:rPr>
        <w:t xml:space="preserve"> (PI)</w:t>
      </w:r>
      <w:r w:rsidR="003A5210" w:rsidRPr="003A5210">
        <w:rPr>
          <w:rFonts w:ascii="Arial" w:hAnsi="Arial" w:cs="Arial"/>
          <w:sz w:val="22"/>
        </w:rPr>
        <w:t xml:space="preserve"> </w:t>
      </w:r>
      <w:r w:rsidR="00C46DFE" w:rsidRPr="00C46DFE">
        <w:rPr>
          <w:rFonts w:ascii="Arial" w:hAnsi="Arial" w:cs="Arial"/>
          <w:sz w:val="22"/>
        </w:rPr>
        <w:t xml:space="preserve">with overall responsibility for </w:t>
      </w:r>
      <w:r w:rsidR="00C46DFE">
        <w:rPr>
          <w:rFonts w:ascii="Arial" w:hAnsi="Arial" w:cs="Arial"/>
          <w:sz w:val="22"/>
        </w:rPr>
        <w:t>team</w:t>
      </w:r>
      <w:r w:rsidR="00C46DFE" w:rsidRPr="00C46DFE">
        <w:rPr>
          <w:rFonts w:ascii="Arial" w:hAnsi="Arial" w:cs="Arial"/>
          <w:sz w:val="22"/>
        </w:rPr>
        <w:t xml:space="preserve"> duties, responsibilities, and workload</w:t>
      </w:r>
      <w:r w:rsidR="00C46DFE">
        <w:rPr>
          <w:rFonts w:ascii="Arial" w:hAnsi="Arial" w:cs="Arial"/>
          <w:sz w:val="22"/>
        </w:rPr>
        <w:t xml:space="preserve">, including </w:t>
      </w:r>
      <w:r w:rsidR="00C46DFE" w:rsidRPr="00C46DFE">
        <w:rPr>
          <w:rFonts w:ascii="Arial" w:hAnsi="Arial" w:cs="Arial"/>
          <w:sz w:val="22"/>
        </w:rPr>
        <w:t>overseeing probation, appraisal</w:t>
      </w:r>
      <w:r w:rsidR="00C46DFE">
        <w:rPr>
          <w:rFonts w:ascii="Arial" w:hAnsi="Arial" w:cs="Arial"/>
          <w:sz w:val="22"/>
        </w:rPr>
        <w:t xml:space="preserve"> and</w:t>
      </w:r>
      <w:r w:rsidR="00C46DFE" w:rsidRPr="00C46DFE">
        <w:rPr>
          <w:rFonts w:ascii="Arial" w:hAnsi="Arial" w:cs="Arial"/>
          <w:sz w:val="22"/>
        </w:rPr>
        <w:t xml:space="preserve"> career development.</w:t>
      </w:r>
    </w:p>
    <w:p w14:paraId="66B9E3FE" w14:textId="389240A9" w:rsidR="00C46DFE" w:rsidRDefault="00C46DFE" w:rsidP="00C46DFE">
      <w:pPr>
        <w:numPr>
          <w:ilvl w:val="0"/>
          <w:numId w:val="1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Departmental mentor, who is external to the team and able to give advice, but not responsible for probation or appraisal.</w:t>
      </w:r>
    </w:p>
    <w:p w14:paraId="43BF8A9C" w14:textId="3D17A3C6" w:rsidR="00C46DFE" w:rsidRPr="00C46DFE" w:rsidRDefault="00C46DFE" w:rsidP="00C46DFE">
      <w:pPr>
        <w:numPr>
          <w:ilvl w:val="0"/>
          <w:numId w:val="1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Head of Philosophy as person responsible for overall departmental duties.</w:t>
      </w:r>
    </w:p>
    <w:p w14:paraId="3715E746" w14:textId="046C6F47" w:rsidR="00886EF0" w:rsidRPr="003A5210" w:rsidRDefault="00886EF0" w:rsidP="002B5854">
      <w:pPr>
        <w:ind w:left="567"/>
        <w:rPr>
          <w:rFonts w:ascii="Arial" w:hAnsi="Arial" w:cs="Arial"/>
          <w:sz w:val="22"/>
        </w:rPr>
      </w:pPr>
    </w:p>
    <w:p w14:paraId="7A27DFDD" w14:textId="720E657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8" style="width:0;height:1.5pt" o:hralign="center" o:hrstd="t" o:hr="t" fillcolor="#a0a0a0" stroked="f"/>
        </w:pict>
      </w:r>
    </w:p>
    <w:p w14:paraId="66C40B02" w14:textId="755EC1E4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  <w:r w:rsidR="00C46DFE">
        <w:rPr>
          <w:rFonts w:ascii="Roboto" w:hAnsi="Roboto"/>
          <w:color w:val="002E3B" w:themeColor="accent1"/>
          <w:sz w:val="22"/>
        </w:rPr>
        <w:t xml:space="preserve"> None</w:t>
      </w:r>
    </w:p>
    <w:p w14:paraId="002C772A" w14:textId="676362F5" w:rsidR="00232309" w:rsidRPr="006D162A" w:rsidRDefault="00232309" w:rsidP="002B5854">
      <w:pPr>
        <w:ind w:left="567"/>
        <w:rPr>
          <w:rFonts w:ascii="Arial" w:hAnsi="Arial" w:cs="Arial"/>
          <w:sz w:val="22"/>
        </w:rPr>
      </w:pPr>
    </w:p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29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30894103" w14:textId="77777777" w:rsidR="00414462" w:rsidRDefault="00414462" w:rsidP="00414462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>
        <w:rPr>
          <w:rFonts w:ascii="Arial" w:hAnsi="Arial" w:cs="Arial"/>
          <w:sz w:val="22"/>
        </w:rPr>
        <w:t>Philosophy</w:t>
      </w:r>
      <w:r w:rsidRPr="00BA0543">
        <w:rPr>
          <w:rFonts w:ascii="Arial" w:hAnsi="Arial" w:cs="Arial"/>
          <w:sz w:val="22"/>
        </w:rPr>
        <w:t xml:space="preserve">, supported by </w:t>
      </w:r>
      <w:r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1C8FD793" w14:textId="2A5F38BF" w:rsidR="00414462" w:rsidRDefault="00414462" w:rsidP="00414462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The required level of knowledge and understanding will have been gained through </w:t>
      </w:r>
      <w:r>
        <w:rPr>
          <w:rFonts w:ascii="Arial" w:hAnsi="Arial" w:cs="Arial"/>
          <w:sz w:val="22"/>
        </w:rPr>
        <w:t>a PhD in Philosophy or a related subject.</w:t>
      </w:r>
    </w:p>
    <w:p w14:paraId="085549AC" w14:textId="1EB4AD9A" w:rsidR="00414462" w:rsidRDefault="00414462" w:rsidP="00414462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bookmarkStart w:id="2" w:name="_Hlk211863892"/>
      <w:r>
        <w:rPr>
          <w:rFonts w:ascii="Arial" w:hAnsi="Arial" w:cs="Arial"/>
          <w:sz w:val="22"/>
        </w:rPr>
        <w:t>Track record of high-quality research outputs that underpin an established and growing reputation within the Philosophy research community.</w:t>
      </w:r>
    </w:p>
    <w:bookmarkEnd w:id="2"/>
    <w:p w14:paraId="4AF80EFF" w14:textId="48CFACB3" w:rsidR="00414462" w:rsidRDefault="00414462" w:rsidP="00414462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Research interests in at least two of the following areas: philosophy of conspiracy theory, scepticism, virtue epistemology.</w:t>
      </w:r>
    </w:p>
    <w:p w14:paraId="06E24266" w14:textId="77777777" w:rsidR="00414462" w:rsidRDefault="00414462" w:rsidP="002B5854">
      <w:pPr>
        <w:rPr>
          <w:rFonts w:ascii="Roboto" w:hAnsi="Roboto"/>
          <w:color w:val="002E3B" w:themeColor="accent1"/>
          <w:sz w:val="22"/>
        </w:rPr>
      </w:pPr>
    </w:p>
    <w:p w14:paraId="0CC25CFC" w14:textId="77F82CF9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21EDAEFC" w14:textId="77777777" w:rsidR="00414462" w:rsidRDefault="003A5210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Some</w:t>
      </w:r>
      <w:r w:rsidR="00414462">
        <w:rPr>
          <w:rFonts w:ascii="Arial" w:hAnsi="Arial" w:cs="Arial"/>
          <w:sz w:val="22"/>
        </w:rPr>
        <w:t xml:space="preserve"> knowledge of Kierkegaard.</w:t>
      </w:r>
      <w:r>
        <w:rPr>
          <w:rFonts w:ascii="Arial" w:hAnsi="Arial" w:cs="Arial"/>
          <w:sz w:val="22"/>
        </w:rPr>
        <w:t xml:space="preserve"> </w:t>
      </w:r>
    </w:p>
    <w:p w14:paraId="1E68F6DB" w14:textId="73F740E8" w:rsidR="00CB1D5C" w:rsidRPr="006D162A" w:rsidRDefault="00414462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Some </w:t>
      </w:r>
      <w:r w:rsidR="003A5210">
        <w:rPr>
          <w:rFonts w:ascii="Arial" w:hAnsi="Arial" w:cs="Arial"/>
          <w:sz w:val="22"/>
        </w:rPr>
        <w:t>postdoctoral work experience.</w:t>
      </w:r>
    </w:p>
    <w:p w14:paraId="09590FED" w14:textId="19C91212" w:rsidR="008F1F12" w:rsidRPr="006D162A" w:rsidRDefault="008F1F12" w:rsidP="002B5854">
      <w:pPr>
        <w:rPr>
          <w:rFonts w:ascii="Roboto" w:hAnsi="Roboto"/>
          <w:color w:val="002E3B" w:themeColor="accent1"/>
          <w:sz w:val="22"/>
        </w:rPr>
      </w:pP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0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FEA700" w14:textId="77777777" w:rsidR="007E6CBA" w:rsidRDefault="007E6CBA" w:rsidP="007E6CBA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Responds well to feedback and acts accordingly.</w:t>
      </w:r>
    </w:p>
    <w:p w14:paraId="633108CE" w14:textId="40249F75" w:rsidR="00CB1D5C" w:rsidRPr="007E6CBA" w:rsidRDefault="007E6CBA" w:rsidP="007E6CBA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C</w:t>
      </w:r>
      <w:r w:rsidR="00CB1D5C" w:rsidRPr="007E6CBA">
        <w:rPr>
          <w:rFonts w:ascii="Roboto" w:hAnsi="Roboto"/>
          <w:sz w:val="22"/>
        </w:rPr>
        <w:t>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2FC32A09" w14:textId="427AA181" w:rsidR="006D162A" w:rsidRPr="006D162A" w:rsidRDefault="006D162A" w:rsidP="00CB1D5C">
      <w:pPr>
        <w:rPr>
          <w:rFonts w:ascii="Roboto" w:hAnsi="Roboto"/>
          <w:color w:val="002E3B" w:themeColor="accent1"/>
          <w:sz w:val="22"/>
        </w:rPr>
      </w:pP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1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3686927A" w14:textId="4CC621D8" w:rsidR="0004217C" w:rsidRDefault="00CB1D5C" w:rsidP="003911DB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7E6CBA">
        <w:rPr>
          <w:rFonts w:ascii="Roboto" w:hAnsi="Roboto"/>
          <w:sz w:val="22"/>
        </w:rPr>
        <w:t xml:space="preserve">Plans and progresses research and/or knowledge exchange and enterprise activities </w:t>
      </w:r>
      <w:r w:rsidR="007E6CBA" w:rsidRPr="007E6CBA">
        <w:rPr>
          <w:rFonts w:ascii="Roboto" w:hAnsi="Roboto"/>
          <w:sz w:val="22"/>
        </w:rPr>
        <w:t>in line with direction from PI</w:t>
      </w:r>
      <w:r w:rsidR="007E6CBA">
        <w:rPr>
          <w:rFonts w:ascii="Roboto" w:hAnsi="Roboto"/>
          <w:sz w:val="22"/>
        </w:rPr>
        <w:t>.</w:t>
      </w:r>
    </w:p>
    <w:p w14:paraId="5FF65006" w14:textId="75149102" w:rsidR="007E6CBA" w:rsidRDefault="007E6CBA" w:rsidP="003911DB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Possesses good administrative, organisational and digital skills, and </w:t>
      </w:r>
      <w:proofErr w:type="gramStart"/>
      <w:r>
        <w:rPr>
          <w:rFonts w:ascii="Roboto" w:hAnsi="Roboto"/>
          <w:sz w:val="22"/>
        </w:rPr>
        <w:t>is able to</w:t>
      </w:r>
      <w:proofErr w:type="gramEnd"/>
      <w:r>
        <w:rPr>
          <w:rFonts w:ascii="Roboto" w:hAnsi="Roboto"/>
          <w:sz w:val="22"/>
        </w:rPr>
        <w:t xml:space="preserve"> apply them to organization of project events and initiatives.</w:t>
      </w:r>
    </w:p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2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0B9D50DA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</w:t>
      </w:r>
      <w:r w:rsidR="007E6CBA">
        <w:rPr>
          <w:rFonts w:ascii="Roboto" w:hAnsi="Roboto"/>
          <w:sz w:val="22"/>
        </w:rPr>
        <w:t xml:space="preserve"> related to the project themes</w:t>
      </w:r>
      <w:r w:rsidRPr="00CB1D5C">
        <w:rPr>
          <w:rFonts w:ascii="Roboto" w:hAnsi="Roboto"/>
          <w:sz w:val="22"/>
        </w:rPr>
        <w:t xml:space="preserve"> and applies accumulated knowledge and experience to understand and/or resolve them.</w:t>
      </w:r>
    </w:p>
    <w:p w14:paraId="48BBD68F" w14:textId="77777777" w:rsidR="00451893" w:rsidRDefault="00CB1D5C" w:rsidP="00451893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 xml:space="preserve">Demonstrates an awareness of principles and trends within a specialist field and awareness of how this affects research and knowledge exchange and enterprise activities </w:t>
      </w:r>
      <w:r w:rsidR="007E6CBA">
        <w:rPr>
          <w:rFonts w:ascii="Roboto" w:hAnsi="Roboto"/>
          <w:sz w:val="22"/>
        </w:rPr>
        <w:t>on the project</w:t>
      </w:r>
      <w:r w:rsidR="00883B4C">
        <w:rPr>
          <w:rFonts w:ascii="Roboto" w:hAnsi="Roboto"/>
          <w:sz w:val="22"/>
        </w:rPr>
        <w:t>.</w:t>
      </w:r>
    </w:p>
    <w:p w14:paraId="0B64FC1C" w14:textId="4EB61CF9" w:rsidR="00451893" w:rsidRPr="00451893" w:rsidRDefault="00451893" w:rsidP="00451893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451893">
        <w:rPr>
          <w:rFonts w:ascii="Roboto" w:hAnsi="Roboto"/>
          <w:sz w:val="22"/>
        </w:rPr>
        <w:lastRenderedPageBreak/>
        <w:t>Is proactive and shows initiative on all aspects of project management.</w:t>
      </w:r>
    </w:p>
    <w:p w14:paraId="1F75EEDF" w14:textId="7423D259" w:rsidR="00850136" w:rsidRPr="00C9549D" w:rsidRDefault="00850136" w:rsidP="00CB1D5C">
      <w:pPr>
        <w:rPr>
          <w:rFonts w:ascii="Roboto" w:hAnsi="Roboto"/>
          <w:sz w:val="22"/>
        </w:rPr>
      </w:pP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2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28C0C636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3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3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E6CBA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15A8241B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E6CBA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6DF9B3DA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E6CBA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7D10F56D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E6CBA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3F29F09C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E6CBA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4F1C0564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E6CBA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20A46BC4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E6CBA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12F5C915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E6CBA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1C5101FD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E6CBA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491AAE84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E6CBA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36E468F9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E6CBA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78365BE9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E6CBA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6B9267D5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E6CBA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0AB1CFA4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E6CBA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1A33B80C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E6CBA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3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23817318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E6CBA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1AD516B6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E6CBA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30263518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57ECC">
            <w:rPr>
              <w:rFonts w:ascii="Roboto" w:hAnsi="Roboto"/>
              <w:sz w:val="22"/>
            </w:rPr>
            <w:t>Not applicable</w:t>
          </w:r>
        </w:sdtContent>
      </w:sdt>
    </w:p>
    <w:p w14:paraId="22C8B5C5" w14:textId="0BE09513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E6CBA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0B972BA3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E6CBA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447A7379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E6CBA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4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7EBDB00F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55134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12759992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55134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11EF47BD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55134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45019F11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55134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5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3CA896A6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55134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117EE0A0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55134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C1CBCD" w14:textId="744A5A46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lastRenderedPageBreak/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55134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46EBD8BC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55134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06A9E912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55134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3BC64F2B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55134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174F5AC6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55134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4D93E65B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55134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17BEF8BC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55134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37C0EF17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55134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605F538E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55134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6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4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39950659" w14:textId="4665B9C2" w:rsidR="000B21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7" style="width:0;height:1.5pt" o:hralign="center" o:hrstd="t" o:hr="t" fillcolor="#a0a0a0" stroked="f"/>
        </w:pict>
      </w:r>
    </w:p>
    <w:bookmarkEnd w:id="4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C0DC" w14:textId="77777777" w:rsidR="00071DFA" w:rsidRDefault="00071DFA" w:rsidP="00850136">
      <w:r>
        <w:separator/>
      </w:r>
    </w:p>
  </w:endnote>
  <w:endnote w:type="continuationSeparator" w:id="0">
    <w:p w14:paraId="53A80115" w14:textId="77777777" w:rsidR="00071DFA" w:rsidRDefault="00071DFA" w:rsidP="00850136">
      <w:r>
        <w:continuationSeparator/>
      </w:r>
    </w:p>
  </w:endnote>
  <w:endnote w:type="continuationNotice" w:id="1">
    <w:p w14:paraId="46123D67" w14:textId="77777777" w:rsidR="00071DFA" w:rsidRDefault="00071DF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AC8DD" w14:textId="77777777" w:rsidR="00071DFA" w:rsidRDefault="00071DFA" w:rsidP="00850136">
      <w:r>
        <w:separator/>
      </w:r>
    </w:p>
  </w:footnote>
  <w:footnote w:type="continuationSeparator" w:id="0">
    <w:p w14:paraId="324D0AF3" w14:textId="77777777" w:rsidR="00071DFA" w:rsidRDefault="00071DFA" w:rsidP="00850136">
      <w:r>
        <w:continuationSeparator/>
      </w:r>
    </w:p>
  </w:footnote>
  <w:footnote w:type="continuationNotice" w:id="1">
    <w:p w14:paraId="2069A486" w14:textId="77777777" w:rsidR="00071DFA" w:rsidRDefault="00071DF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E6B13"/>
    <w:multiLevelType w:val="hybridMultilevel"/>
    <w:tmpl w:val="F4EA5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2"/>
  </w:num>
  <w:num w:numId="10" w16cid:durableId="74933991">
    <w:abstractNumId w:val="13"/>
  </w:num>
  <w:num w:numId="11" w16cid:durableId="1388648237">
    <w:abstractNumId w:val="8"/>
  </w:num>
  <w:num w:numId="12" w16cid:durableId="206454054">
    <w:abstractNumId w:val="1"/>
  </w:num>
  <w:num w:numId="13" w16cid:durableId="543445794">
    <w:abstractNumId w:val="15"/>
  </w:num>
  <w:num w:numId="14" w16cid:durableId="812990400">
    <w:abstractNumId w:val="11"/>
  </w:num>
  <w:num w:numId="15" w16cid:durableId="198130965">
    <w:abstractNumId w:val="14"/>
  </w:num>
  <w:num w:numId="16" w16cid:durableId="5354602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57ECC"/>
    <w:rsid w:val="00071DFA"/>
    <w:rsid w:val="000B219D"/>
    <w:rsid w:val="000C0931"/>
    <w:rsid w:val="000E34C2"/>
    <w:rsid w:val="00111D9F"/>
    <w:rsid w:val="00142290"/>
    <w:rsid w:val="00145231"/>
    <w:rsid w:val="001546B1"/>
    <w:rsid w:val="001A2647"/>
    <w:rsid w:val="001B067E"/>
    <w:rsid w:val="001B565F"/>
    <w:rsid w:val="00207344"/>
    <w:rsid w:val="002118ED"/>
    <w:rsid w:val="00232309"/>
    <w:rsid w:val="00244212"/>
    <w:rsid w:val="002453C8"/>
    <w:rsid w:val="00255134"/>
    <w:rsid w:val="00256C9F"/>
    <w:rsid w:val="002666B4"/>
    <w:rsid w:val="00270F82"/>
    <w:rsid w:val="00271BCD"/>
    <w:rsid w:val="002B5854"/>
    <w:rsid w:val="002C7987"/>
    <w:rsid w:val="002D75C9"/>
    <w:rsid w:val="00341D3D"/>
    <w:rsid w:val="00351A95"/>
    <w:rsid w:val="0035739F"/>
    <w:rsid w:val="00360F7C"/>
    <w:rsid w:val="003948DC"/>
    <w:rsid w:val="003979F4"/>
    <w:rsid w:val="003A34A2"/>
    <w:rsid w:val="003A5210"/>
    <w:rsid w:val="003C3EC1"/>
    <w:rsid w:val="003C3F9A"/>
    <w:rsid w:val="00414462"/>
    <w:rsid w:val="00451893"/>
    <w:rsid w:val="00482867"/>
    <w:rsid w:val="004A3DAA"/>
    <w:rsid w:val="004C2AD4"/>
    <w:rsid w:val="004D46AB"/>
    <w:rsid w:val="00527707"/>
    <w:rsid w:val="005376DF"/>
    <w:rsid w:val="00577C4D"/>
    <w:rsid w:val="00587D40"/>
    <w:rsid w:val="00595EEB"/>
    <w:rsid w:val="00597215"/>
    <w:rsid w:val="005B29A7"/>
    <w:rsid w:val="00601792"/>
    <w:rsid w:val="00633449"/>
    <w:rsid w:val="00640CC3"/>
    <w:rsid w:val="00663881"/>
    <w:rsid w:val="006807C5"/>
    <w:rsid w:val="006C3E01"/>
    <w:rsid w:val="006D162A"/>
    <w:rsid w:val="006E3F8E"/>
    <w:rsid w:val="00722340"/>
    <w:rsid w:val="00783F34"/>
    <w:rsid w:val="007847A3"/>
    <w:rsid w:val="007A0463"/>
    <w:rsid w:val="007B287A"/>
    <w:rsid w:val="007D5C4A"/>
    <w:rsid w:val="007E6CBA"/>
    <w:rsid w:val="007E77F9"/>
    <w:rsid w:val="00812F3B"/>
    <w:rsid w:val="00850136"/>
    <w:rsid w:val="008832AD"/>
    <w:rsid w:val="00883B4C"/>
    <w:rsid w:val="00886EF0"/>
    <w:rsid w:val="008A3353"/>
    <w:rsid w:val="008A448A"/>
    <w:rsid w:val="008B0F71"/>
    <w:rsid w:val="008F1F12"/>
    <w:rsid w:val="0093666C"/>
    <w:rsid w:val="00936CA7"/>
    <w:rsid w:val="009548CE"/>
    <w:rsid w:val="009608CA"/>
    <w:rsid w:val="009C137A"/>
    <w:rsid w:val="009D1D17"/>
    <w:rsid w:val="00A013BA"/>
    <w:rsid w:val="00A2516E"/>
    <w:rsid w:val="00A40716"/>
    <w:rsid w:val="00A574E8"/>
    <w:rsid w:val="00A64E71"/>
    <w:rsid w:val="00A74C90"/>
    <w:rsid w:val="00A834BD"/>
    <w:rsid w:val="00AA762D"/>
    <w:rsid w:val="00B9140F"/>
    <w:rsid w:val="00BA0543"/>
    <w:rsid w:val="00BA4938"/>
    <w:rsid w:val="00BB1088"/>
    <w:rsid w:val="00BD5FBF"/>
    <w:rsid w:val="00C37E2C"/>
    <w:rsid w:val="00C46DFE"/>
    <w:rsid w:val="00C6007A"/>
    <w:rsid w:val="00C721CF"/>
    <w:rsid w:val="00C836E2"/>
    <w:rsid w:val="00C86602"/>
    <w:rsid w:val="00C8781A"/>
    <w:rsid w:val="00C9549D"/>
    <w:rsid w:val="00CB1D5C"/>
    <w:rsid w:val="00CB500A"/>
    <w:rsid w:val="00CC42EE"/>
    <w:rsid w:val="00CD4E5C"/>
    <w:rsid w:val="00CE75C9"/>
    <w:rsid w:val="00CF12EC"/>
    <w:rsid w:val="00CF2A12"/>
    <w:rsid w:val="00D00965"/>
    <w:rsid w:val="00D03506"/>
    <w:rsid w:val="00D41E20"/>
    <w:rsid w:val="00D56D51"/>
    <w:rsid w:val="00D56E08"/>
    <w:rsid w:val="00D86E92"/>
    <w:rsid w:val="00DA0322"/>
    <w:rsid w:val="00DC222E"/>
    <w:rsid w:val="00E13B1E"/>
    <w:rsid w:val="00E35221"/>
    <w:rsid w:val="00E37A82"/>
    <w:rsid w:val="00E416F9"/>
    <w:rsid w:val="00E51761"/>
    <w:rsid w:val="00E76E9F"/>
    <w:rsid w:val="00E87318"/>
    <w:rsid w:val="00E907DE"/>
    <w:rsid w:val="00EC6636"/>
    <w:rsid w:val="00ED3940"/>
    <w:rsid w:val="00EE0825"/>
    <w:rsid w:val="00EF14A1"/>
    <w:rsid w:val="00F46BA1"/>
    <w:rsid w:val="00F51161"/>
    <w:rsid w:val="00F56318"/>
    <w:rsid w:val="00FB1DD9"/>
    <w:rsid w:val="00FB4E3B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HealthWellbeing/SitePages/Occupational-Health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0D5B6C"/>
    <w:rsid w:val="0010517A"/>
    <w:rsid w:val="00256C9F"/>
    <w:rsid w:val="00351A95"/>
    <w:rsid w:val="00435AB5"/>
    <w:rsid w:val="004C2AD4"/>
    <w:rsid w:val="00595EEB"/>
    <w:rsid w:val="00601792"/>
    <w:rsid w:val="006807C5"/>
    <w:rsid w:val="00727B4D"/>
    <w:rsid w:val="00783F34"/>
    <w:rsid w:val="007847A3"/>
    <w:rsid w:val="007D5C4A"/>
    <w:rsid w:val="00936CA7"/>
    <w:rsid w:val="009548CE"/>
    <w:rsid w:val="00961673"/>
    <w:rsid w:val="00A834BD"/>
    <w:rsid w:val="00AD0B78"/>
    <w:rsid w:val="00B76E0F"/>
    <w:rsid w:val="00C04435"/>
    <w:rsid w:val="00C6007A"/>
    <w:rsid w:val="00CB500A"/>
    <w:rsid w:val="00DC222E"/>
    <w:rsid w:val="00E37A82"/>
    <w:rsid w:val="00E51761"/>
    <w:rsid w:val="00FB1DD9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B138DD-F547-496B-93C0-4D3F898EA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7</Pages>
  <Words>1677</Words>
  <Characters>10768</Characters>
  <Application>Microsoft Office Word</Application>
  <DocSecurity>0</DocSecurity>
  <Lines>229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Genia Schönbaumsfeld</cp:lastModifiedBy>
  <cp:revision>2</cp:revision>
  <dcterms:created xsi:type="dcterms:W3CDTF">2025-10-21T10:31:00Z</dcterms:created>
  <dcterms:modified xsi:type="dcterms:W3CDTF">2025-10-21T10:31:00Z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